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B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color w:val="DA0000"/>
          <w:sz w:val="42"/>
          <w:szCs w:val="42"/>
        </w:rPr>
      </w:pPr>
      <w:r w:rsidRPr="00ED3CBD">
        <w:rPr>
          <w:rFonts w:ascii="TradeGothicLTStd-Bd2" w:hAnsi="TradeGothicLTStd-Bd2" w:cs="TradeGothicLTStd-Bd2"/>
          <w:color w:val="DA0000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7FEEC43D" wp14:editId="05EB4CAD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047750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eGothicLTStd-Bd2" w:hAnsi="TradeGothicLTStd-Bd2" w:cs="TradeGothicLTStd-Bd2"/>
          <w:color w:val="DA0000"/>
          <w:sz w:val="42"/>
          <w:szCs w:val="42"/>
        </w:rPr>
        <w:t>Liability Undertaking Form</w:t>
      </w:r>
    </w:p>
    <w:p w:rsidR="00E43064" w:rsidRDefault="00ED3CBD" w:rsidP="00ED3CBD">
      <w:pPr>
        <w:rPr>
          <w:rFonts w:ascii="TradeGothicLTStd-Bd2" w:hAnsi="TradeGothicLTStd-Bd2" w:cs="TradeGothicLTStd-Bd2"/>
          <w:color w:val="000000"/>
          <w:sz w:val="26"/>
          <w:szCs w:val="26"/>
        </w:rPr>
      </w:pPr>
      <w:r>
        <w:rPr>
          <w:rFonts w:ascii="TradeGothicLTStd-Bd2" w:hAnsi="TradeGothicLTStd-Bd2" w:cs="TradeGothicLTStd-Bd2"/>
          <w:color w:val="000000"/>
          <w:sz w:val="26"/>
          <w:szCs w:val="26"/>
        </w:rPr>
        <w:t>Informed Consent Confirmation</w:t>
      </w:r>
      <w:r w:rsidR="009E582D">
        <w:rPr>
          <w:rFonts w:ascii="TradeGothicLTStd-Bd2" w:hAnsi="TradeGothicLTStd-Bd2" w:cs="TradeGothicLTStd-Bd2"/>
          <w:color w:val="000000"/>
          <w:sz w:val="26"/>
          <w:szCs w:val="26"/>
        </w:rPr>
        <w:t xml:space="preserve"> by Doctor/Administrator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3CBD" w:rsidTr="00ED3CBD">
        <w:tc>
          <w:tcPr>
            <w:tcW w:w="9350" w:type="dxa"/>
          </w:tcPr>
          <w:p w:rsidR="00ED3CBD" w:rsidRDefault="00ED3CBD" w:rsidP="00ED3CBD">
            <w:pPr>
              <w:rPr>
                <w:rFonts w:ascii="TradeGothicLTStd-Bd2" w:hAnsi="TradeGothicLTStd-Bd2" w:cs="TradeGothicLTStd-Bd2"/>
                <w:color w:val="000000"/>
                <w:sz w:val="20"/>
                <w:szCs w:val="20"/>
              </w:rPr>
            </w:pPr>
            <w:r w:rsidRPr="00ED3CBD">
              <w:rPr>
                <w:rFonts w:ascii="TradeGothicLTStd-Bd2" w:hAnsi="TradeGothicLTStd-Bd2" w:cs="TradeGothicLTStd-Bd2"/>
                <w:color w:val="000000"/>
                <w:sz w:val="20"/>
                <w:szCs w:val="20"/>
              </w:rPr>
              <w:t>Location</w:t>
            </w:r>
          </w:p>
          <w:p w:rsidR="009E582D" w:rsidRPr="00ED3CBD" w:rsidRDefault="009E582D" w:rsidP="00ED3CBD">
            <w:pPr>
              <w:rPr>
                <w:rFonts w:ascii="TradeGothicLTStd-Bd2" w:hAnsi="TradeGothicLTStd-Bd2" w:cs="TradeGothicLTStd-Bd2"/>
                <w:color w:val="000000"/>
                <w:sz w:val="20"/>
                <w:szCs w:val="20"/>
              </w:rPr>
            </w:pPr>
          </w:p>
        </w:tc>
      </w:tr>
      <w:tr w:rsidR="00ED3CBD" w:rsidTr="00ED3CBD">
        <w:tc>
          <w:tcPr>
            <w:tcW w:w="9350" w:type="dxa"/>
          </w:tcPr>
          <w:p w:rsidR="00ED3CBD" w:rsidRDefault="00ED3CBD" w:rsidP="00ED3CBD">
            <w:pPr>
              <w:rPr>
                <w:rFonts w:ascii="TradeGothicLTStd-Bd2" w:hAnsi="TradeGothicLTStd-Bd2" w:cs="TradeGothicLTStd-Bd2"/>
                <w:color w:val="000000"/>
                <w:sz w:val="20"/>
                <w:szCs w:val="20"/>
              </w:rPr>
            </w:pPr>
            <w:r w:rsidRPr="00ED3CBD">
              <w:rPr>
                <w:rFonts w:ascii="TradeGothicLTStd-Bd2" w:hAnsi="TradeGothicLTStd-Bd2" w:cs="TradeGothicLTStd-Bd2"/>
                <w:color w:val="000000"/>
                <w:sz w:val="20"/>
                <w:szCs w:val="20"/>
              </w:rPr>
              <w:t>Date</w:t>
            </w:r>
          </w:p>
          <w:p w:rsidR="009E582D" w:rsidRPr="00ED3CBD" w:rsidRDefault="009E582D" w:rsidP="00ED3CBD">
            <w:pPr>
              <w:rPr>
                <w:rFonts w:ascii="TradeGothicLTStd-Bd2" w:hAnsi="TradeGothicLTStd-Bd2" w:cs="TradeGothicLTStd-Bd2"/>
                <w:color w:val="000000"/>
                <w:sz w:val="20"/>
                <w:szCs w:val="20"/>
              </w:rPr>
            </w:pPr>
          </w:p>
        </w:tc>
      </w:tr>
    </w:tbl>
    <w:p w:rsidR="00ED3CB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0"/>
          <w:szCs w:val="20"/>
        </w:rPr>
      </w:pP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E582D">
        <w:rPr>
          <w:rFonts w:ascii="TradeGothicLTStd" w:hAnsi="TradeGothicLTStd" w:cs="TradeGothicLTStd"/>
          <w:color w:val="000000"/>
          <w:sz w:val="24"/>
          <w:szCs w:val="24"/>
        </w:rPr>
        <w:t>I, (Dr/Administrator)</w:t>
      </w:r>
      <w:r w:rsidRPr="009E582D">
        <w:rPr>
          <w:rFonts w:ascii="TradeGothicLTStd-Cn18" w:hAnsi="TradeGothicLTStd-Cn18" w:cs="TradeGothicLTStd-Cn18"/>
          <w:color w:val="808080"/>
          <w:sz w:val="24"/>
          <w:szCs w:val="24"/>
        </w:rPr>
        <w:t xml:space="preserve">___________________________________________________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state that I have researched all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resources regarding the components, risks, benefits and I am with full knowledge of potential adverse effects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and benefits of the mRNA vaccine (hereinafter the Vaccine), manufactured by</w:t>
      </w:r>
      <w:r w:rsidRPr="009E582D">
        <w:rPr>
          <w:rFonts w:ascii="TradeGothicLTStd-Cn18" w:hAnsi="TradeGothicLTStd-Cn18" w:cs="TradeGothicLTStd-Cn18"/>
          <w:color w:val="808080"/>
          <w:sz w:val="24"/>
          <w:szCs w:val="24"/>
        </w:rPr>
        <w:t>_______________________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; and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I administered the mRNA vaccine produced by the aforementioned manufacturer to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proofErr w:type="spellStart"/>
      <w:r w:rsidRPr="009E582D">
        <w:rPr>
          <w:rFonts w:ascii="TradeGothicLTStd" w:hAnsi="TradeGothicLTStd" w:cs="TradeGothicLTStd"/>
          <w:color w:val="000000"/>
          <w:sz w:val="24"/>
          <w:szCs w:val="24"/>
        </w:rPr>
        <w:t>Mr</w:t>
      </w:r>
      <w:proofErr w:type="spellEnd"/>
      <w:r w:rsidRPr="009E582D">
        <w:rPr>
          <w:rFonts w:ascii="TradeGothicLTStd" w:hAnsi="TradeGothicLTStd" w:cs="TradeGothicLTStd"/>
          <w:color w:val="000000"/>
          <w:sz w:val="24"/>
          <w:szCs w:val="24"/>
        </w:rPr>
        <w:t>/</w:t>
      </w:r>
      <w:proofErr w:type="spellStart"/>
      <w:r w:rsidRPr="009E582D">
        <w:rPr>
          <w:rFonts w:ascii="TradeGothicLTStd" w:hAnsi="TradeGothicLTStd" w:cs="TradeGothicLTStd"/>
          <w:color w:val="000000"/>
          <w:sz w:val="24"/>
          <w:szCs w:val="24"/>
        </w:rPr>
        <w:t>Mrs</w:t>
      </w:r>
      <w:proofErr w:type="spellEnd"/>
      <w:r w:rsidRPr="009E582D">
        <w:rPr>
          <w:rFonts w:ascii="TradeGothicLTStd" w:hAnsi="TradeGothicLTStd" w:cs="TradeGothicLTStd"/>
          <w:color w:val="000000"/>
          <w:sz w:val="24"/>
          <w:szCs w:val="24"/>
        </w:rPr>
        <w:t>/</w:t>
      </w:r>
      <w:proofErr w:type="spellStart"/>
      <w:r w:rsidRPr="009E582D">
        <w:rPr>
          <w:rFonts w:ascii="TradeGothicLTStd" w:hAnsi="TradeGothicLTStd" w:cs="TradeGothicLTStd"/>
          <w:color w:val="000000"/>
          <w:sz w:val="24"/>
          <w:szCs w:val="24"/>
        </w:rPr>
        <w:t>Ms</w:t>
      </w:r>
      <w:proofErr w:type="spellEnd"/>
      <w:r w:rsidRPr="009E582D">
        <w:rPr>
          <w:rFonts w:ascii="TradeGothicLTStd" w:hAnsi="TradeGothicLTStd" w:cs="TradeGothicLTStd"/>
          <w:color w:val="000000"/>
          <w:sz w:val="24"/>
          <w:szCs w:val="24"/>
        </w:rPr>
        <w:t>/</w:t>
      </w:r>
      <w:proofErr w:type="spellStart"/>
      <w:r w:rsidRPr="009E582D">
        <w:rPr>
          <w:rFonts w:ascii="TradeGothicLTStd" w:hAnsi="TradeGothicLTStd" w:cs="TradeGothicLTStd"/>
          <w:color w:val="000000"/>
          <w:sz w:val="24"/>
          <w:szCs w:val="24"/>
        </w:rPr>
        <w:t>Mx</w:t>
      </w:r>
      <w:proofErr w:type="spellEnd"/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-Cn18" w:hAnsi="TradeGothicLTStd-Cn18" w:cs="TradeGothicLTStd-Cn18"/>
          <w:color w:val="808080"/>
          <w:sz w:val="24"/>
          <w:szCs w:val="24"/>
        </w:rPr>
        <w:t>________________________________________________________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, the Patient, Ward or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Participant (herein referred to as Participant), on this date and attest, under penalty of perjury, that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I have satisfied ALL legal, Regulatory and Ethical Informed Consent requirements (including but not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limited to Informed Consent as it may relate to Clinical Trial Participation) and specific manufacturer’s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requirements obtaining Informed Consent by having performed the following:</w:t>
      </w: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E582D">
        <w:rPr>
          <w:rFonts w:ascii="TradeGothicLTStd" w:hAnsi="TradeGothicLTStd" w:cs="TradeGothicLTStd"/>
          <w:color w:val="000000"/>
          <w:sz w:val="24"/>
          <w:szCs w:val="24"/>
        </w:rPr>
        <w:t>I have read and explained to the Participant the 2020-2021 Vaccine Information Statement for the COVID-19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vaccine and explained its risks and benefits removing any concern the Participant may have had about its safety.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I have ensured that the Participant is aware that they are a volunteer subject in a clinical experimental trial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and may leave at any time without sanctions; and furthermore, I have also provided an opportunity to ask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questions about the vaccine verifying comprehension by the Participant.</w:t>
      </w: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ED3CB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E582D">
        <w:rPr>
          <w:rFonts w:ascii="TradeGothicLTStd" w:hAnsi="TradeGothicLTStd" w:cs="TradeGothicLTStd"/>
          <w:color w:val="000000"/>
          <w:sz w:val="24"/>
          <w:szCs w:val="24"/>
        </w:rPr>
        <w:t>Therefore, I am satisfied that the Participant is fully aware of the risks versus benefits and I voluntarily</w:t>
      </w:r>
      <w:r w:rsidR="0099376A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assume full responsibility and liability for any adverse effect that may result in the present, mid-term or long-term from either my administration of the Vaccine(s) to the Participant or the receipt of the Vaccine (s) by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the person named below for whom </w:t>
      </w:r>
      <w:proofErr w:type="spellStart"/>
      <w:r w:rsidRPr="009E582D">
        <w:rPr>
          <w:rFonts w:ascii="TradeGothicLTStd" w:hAnsi="TradeGothicLTStd" w:cs="TradeGothicLTStd"/>
          <w:color w:val="000000"/>
          <w:sz w:val="24"/>
          <w:szCs w:val="24"/>
        </w:rPr>
        <w:t>He/She</w:t>
      </w:r>
      <w:proofErr w:type="spellEnd"/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is the legal guardian (“Ward”).</w:t>
      </w:r>
    </w:p>
    <w:p w:rsidR="0099376A" w:rsidRDefault="0099376A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99376A" w:rsidRPr="0099376A" w:rsidRDefault="0099376A" w:rsidP="0099376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t>I agree to undertake the necessary testing</w:t>
      </w:r>
      <w:r>
        <w:rPr>
          <w:rFonts w:ascii="TradeGothicLTStd" w:hAnsi="TradeGothicLTStd" w:cs="TradeGothicLTStd"/>
          <w:color w:val="000000"/>
          <w:sz w:val="24"/>
          <w:szCs w:val="24"/>
        </w:rPr>
        <w:t xml:space="preserve"> to monitor </w:t>
      </w:r>
      <w:r w:rsidRPr="0099376A">
        <w:rPr>
          <w:rFonts w:ascii="TradeGothicLTStd" w:hAnsi="TradeGothicLTStd" w:cs="TradeGothicLTStd"/>
          <w:color w:val="000000"/>
          <w:sz w:val="24"/>
          <w:szCs w:val="24"/>
        </w:rPr>
        <w:t xml:space="preserve">the </w:t>
      </w:r>
      <w:r>
        <w:rPr>
          <w:rFonts w:ascii="TradeGothicLTStd" w:hAnsi="TradeGothicLTStd" w:cs="TradeGothicLTStd"/>
          <w:color w:val="000000"/>
          <w:sz w:val="24"/>
          <w:szCs w:val="24"/>
        </w:rPr>
        <w:t>Participant’s</w:t>
      </w:r>
      <w:r w:rsidRPr="0099376A">
        <w:rPr>
          <w:rFonts w:ascii="TradeGothicLTStd" w:hAnsi="TradeGothicLTStd" w:cs="TradeGothicLTStd"/>
          <w:color w:val="000000"/>
          <w:sz w:val="24"/>
          <w:szCs w:val="24"/>
        </w:rPr>
        <w:t xml:space="preserve"> health</w:t>
      </w:r>
      <w:r>
        <w:rPr>
          <w:rFonts w:ascii="TradeGothicLTStd" w:hAnsi="TradeGothicLTStd" w:cs="TradeGothicLTStd"/>
          <w:color w:val="000000"/>
          <w:sz w:val="24"/>
          <w:szCs w:val="24"/>
        </w:rPr>
        <w:t xml:space="preserve"> at no expense to the Participant</w:t>
      </w:r>
      <w:r w:rsidRPr="0099376A">
        <w:rPr>
          <w:rFonts w:ascii="TradeGothicLTStd" w:hAnsi="TradeGothicLTStd" w:cs="TradeGothicLTStd"/>
          <w:color w:val="000000"/>
          <w:sz w:val="24"/>
          <w:szCs w:val="24"/>
        </w:rPr>
        <w:t>.  The medical procedure protocol will include:</w:t>
      </w:r>
    </w:p>
    <w:p w:rsidR="0099376A" w:rsidRDefault="0099376A" w:rsidP="0099376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99376A" w:rsidRPr="0099376A" w:rsidRDefault="0099376A" w:rsidP="0099376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t>1.</w:t>
      </w:r>
      <w:r w:rsidRPr="0099376A">
        <w:rPr>
          <w:rFonts w:ascii="TradeGothicLTStd" w:hAnsi="TradeGothicLTStd" w:cs="TradeGothicLTStd"/>
          <w:color w:val="000000"/>
          <w:sz w:val="24"/>
          <w:szCs w:val="24"/>
        </w:rPr>
        <w:tab/>
        <w:t>Baseline Data (pre</w:t>
      </w:r>
      <w:proofErr w:type="gramStart"/>
      <w:r w:rsidRPr="0099376A">
        <w:rPr>
          <w:rFonts w:ascii="TradeGothicLTStd" w:hAnsi="TradeGothicLTStd" w:cs="TradeGothicLTStd"/>
          <w:color w:val="000000"/>
          <w:sz w:val="24"/>
          <w:szCs w:val="24"/>
        </w:rPr>
        <w:t>-“</w:t>
      </w:r>
      <w:proofErr w:type="gramEnd"/>
      <w:r w:rsidRPr="0099376A">
        <w:rPr>
          <w:rFonts w:ascii="TradeGothicLTStd" w:hAnsi="TradeGothicLTStd" w:cs="TradeGothicLTStd"/>
          <w:color w:val="000000"/>
          <w:sz w:val="24"/>
          <w:szCs w:val="24"/>
        </w:rPr>
        <w:t>vaccine”) Health Status Verification:</w:t>
      </w:r>
    </w:p>
    <w:p w:rsidR="0099376A" w:rsidRPr="0099376A" w:rsidRDefault="0099376A" w:rsidP="009937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t>Complete Medical Examination.</w:t>
      </w:r>
    </w:p>
    <w:p w:rsidR="0099376A" w:rsidRPr="0099376A" w:rsidRDefault="0099376A" w:rsidP="009937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t>Extensive Laboratory Test Panel potentially including, SARS CoV-2 Antibody Test or T-Cell (Cytokine Release Assay) Test.  D-Dimer / Sedimentation Rate / C - reactive protein / Troponin / CBC (Complete Blood Count) / CMP (Complete Metabolic Panel) / ECG / other tests as may be further identified as appropriate.</w:t>
      </w:r>
    </w:p>
    <w:p w:rsidR="0099376A" w:rsidRPr="0099376A" w:rsidRDefault="0099376A" w:rsidP="0099376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99376A" w:rsidRPr="0099376A" w:rsidRDefault="0099376A" w:rsidP="0099376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t>2.</w:t>
      </w:r>
      <w:r w:rsidRPr="0099376A">
        <w:rPr>
          <w:rFonts w:ascii="TradeGothicLTStd" w:hAnsi="TradeGothicLTStd" w:cs="TradeGothicLTStd"/>
          <w:color w:val="000000"/>
          <w:sz w:val="24"/>
          <w:szCs w:val="24"/>
        </w:rPr>
        <w:tab/>
        <w:t xml:space="preserve">SARS CoV-2 “Vaccination” (provisional acceptance, “without prejudice”). </w:t>
      </w:r>
    </w:p>
    <w:p w:rsidR="0099376A" w:rsidRPr="0099376A" w:rsidRDefault="0099376A" w:rsidP="0099376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99376A" w:rsidRPr="0099376A" w:rsidRDefault="0099376A" w:rsidP="0099376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t>3.</w:t>
      </w:r>
      <w:r w:rsidRPr="0099376A">
        <w:rPr>
          <w:rFonts w:ascii="TradeGothicLTStd" w:hAnsi="TradeGothicLTStd" w:cs="TradeGothicLTStd"/>
          <w:color w:val="000000"/>
          <w:sz w:val="24"/>
          <w:szCs w:val="24"/>
        </w:rPr>
        <w:tab/>
        <w:t>Post Treatment Data (post</w:t>
      </w:r>
      <w:proofErr w:type="gramStart"/>
      <w:r w:rsidRPr="0099376A">
        <w:rPr>
          <w:rFonts w:ascii="TradeGothicLTStd" w:hAnsi="TradeGothicLTStd" w:cs="TradeGothicLTStd"/>
          <w:color w:val="000000"/>
          <w:sz w:val="24"/>
          <w:szCs w:val="24"/>
        </w:rPr>
        <w:t>-“</w:t>
      </w:r>
      <w:proofErr w:type="gramEnd"/>
      <w:r w:rsidRPr="0099376A">
        <w:rPr>
          <w:rFonts w:ascii="TradeGothicLTStd" w:hAnsi="TradeGothicLTStd" w:cs="TradeGothicLTStd"/>
          <w:color w:val="000000"/>
          <w:sz w:val="24"/>
          <w:szCs w:val="24"/>
        </w:rPr>
        <w:t xml:space="preserve">vaccine”) Health Status Verification: </w:t>
      </w:r>
    </w:p>
    <w:p w:rsidR="0099376A" w:rsidRPr="0099376A" w:rsidRDefault="0099376A" w:rsidP="009937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lastRenderedPageBreak/>
        <w:t>Examination and labs (similar to above, with modifications as required for the emerging symptom pattern):</w:t>
      </w:r>
    </w:p>
    <w:p w:rsidR="0099376A" w:rsidRPr="0099376A" w:rsidRDefault="0099376A" w:rsidP="009937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t>Regular Timing Delay: As appropriate for individual tests / Max 14 Days post</w:t>
      </w:r>
      <w:proofErr w:type="gramStart"/>
      <w:r w:rsidRPr="0099376A">
        <w:rPr>
          <w:rFonts w:ascii="TradeGothicLTStd" w:hAnsi="TradeGothicLTStd" w:cs="TradeGothicLTStd"/>
          <w:color w:val="000000"/>
          <w:sz w:val="24"/>
          <w:szCs w:val="24"/>
        </w:rPr>
        <w:t>-“</w:t>
      </w:r>
      <w:proofErr w:type="gramEnd"/>
      <w:r w:rsidRPr="0099376A">
        <w:rPr>
          <w:rFonts w:ascii="TradeGothicLTStd" w:hAnsi="TradeGothicLTStd" w:cs="TradeGothicLTStd"/>
          <w:color w:val="000000"/>
          <w:sz w:val="24"/>
          <w:szCs w:val="24"/>
        </w:rPr>
        <w:t>vaccine” injection(s)</w:t>
      </w:r>
    </w:p>
    <w:p w:rsidR="0099376A" w:rsidRPr="0099376A" w:rsidRDefault="0099376A" w:rsidP="009937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t>Significant adverse effects occurring following the injection – immediate relevant exam/testing.</w:t>
      </w:r>
    </w:p>
    <w:p w:rsidR="0099376A" w:rsidRPr="0099376A" w:rsidRDefault="0099376A" w:rsidP="0099376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99376A" w:rsidRPr="0099376A" w:rsidRDefault="0099376A" w:rsidP="0099376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9376A">
        <w:rPr>
          <w:rFonts w:ascii="TradeGothicLTStd" w:hAnsi="TradeGothicLTStd" w:cs="TradeGothicLTStd"/>
          <w:color w:val="000000"/>
          <w:sz w:val="24"/>
          <w:szCs w:val="24"/>
        </w:rPr>
        <w:t>The above 3-part procedure will be repeated in relation to any subsequent further “vaccinations” taken</w:t>
      </w:r>
      <w:r>
        <w:rPr>
          <w:rFonts w:ascii="TradeGothicLTStd" w:hAnsi="TradeGothicLTStd" w:cs="TradeGothicLTStd"/>
          <w:color w:val="000000"/>
          <w:sz w:val="24"/>
          <w:szCs w:val="24"/>
        </w:rPr>
        <w:t>.</w:t>
      </w: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E582D">
        <w:rPr>
          <w:rFonts w:ascii="TradeGothicLTStd" w:hAnsi="TradeGothicLTStd" w:cs="TradeGothicLTStd"/>
          <w:color w:val="000000"/>
          <w:sz w:val="24"/>
          <w:szCs w:val="24"/>
        </w:rPr>
        <w:t>The Participant and Ward may share my name, license information/Identification with other physicians or</w:t>
      </w:r>
      <w:r w:rsidR="0099376A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other healthcare providers and with the Participant’s physician. The same identifiers may be shared with</w:t>
      </w:r>
      <w:r w:rsidR="0099376A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any reporting agency/board/association as well as to AEFI or any other agency, that I have administered the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immunization(s) to the Participant.</w:t>
      </w: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E582D">
        <w:rPr>
          <w:rFonts w:ascii="TradeGothicLTStd" w:hAnsi="TradeGothicLTStd" w:cs="TradeGothicLTStd"/>
          <w:color w:val="000000"/>
          <w:sz w:val="24"/>
          <w:szCs w:val="24"/>
        </w:rPr>
        <w:t>I, for myself and on behalf of each and every one of my respective heirs, executors, personal representatives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and assigns, hereby assume full liability for my actions and decisions, the clinic, location, </w:t>
      </w:r>
      <w:proofErr w:type="spellStart"/>
      <w:r w:rsidRPr="009E582D">
        <w:rPr>
          <w:rFonts w:ascii="TradeGothicLTStd" w:hAnsi="TradeGothicLTStd" w:cs="TradeGothicLTStd"/>
          <w:color w:val="000000"/>
          <w:sz w:val="24"/>
          <w:szCs w:val="24"/>
        </w:rPr>
        <w:t>centre</w:t>
      </w:r>
      <w:proofErr w:type="spellEnd"/>
      <w:r w:rsidRPr="009E582D">
        <w:rPr>
          <w:rFonts w:ascii="TradeGothicLTStd" w:hAnsi="TradeGothicLTStd" w:cs="TradeGothicLTStd"/>
          <w:color w:val="000000"/>
          <w:sz w:val="24"/>
          <w:szCs w:val="24"/>
        </w:rPr>
        <w:t>, business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and its affiliates, subsidiaries, divisions, directors, contractors, agents and employees (collectively “Liable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Parties”), for any and all claims arising out of, in connection with or in any</w:t>
      </w:r>
      <w:r w:rsidR="0099376A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way related to my administering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the Vaccine(s) to the Participant.</w:t>
      </w: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E582D">
        <w:rPr>
          <w:rFonts w:ascii="TradeGothicLTStd" w:hAnsi="TradeGothicLTStd" w:cs="TradeGothicLTStd"/>
          <w:color w:val="000000"/>
          <w:sz w:val="24"/>
          <w:szCs w:val="24"/>
        </w:rPr>
        <w:t>Neither the Clinic or any other Parties involved in administration of this immunization, in any way form</w:t>
      </w:r>
      <w:r w:rsidR="0099376A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and extent, shall, at any time or to any extent whatsoever, be released from liable, responsibility or any</w:t>
      </w:r>
      <w:r w:rsidR="0099376A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way protected from being held accountable for any loss, injury, death or damage suffered or sustained by</w:t>
      </w:r>
      <w:r w:rsidR="0099376A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the Participant or any person at any time in connection with or as a result of this vaccine program or the</w:t>
      </w:r>
      <w:r w:rsidR="0099376A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administration of the Vaccine(s) described above.</w:t>
      </w: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  <w:r w:rsidRPr="009E582D">
        <w:rPr>
          <w:rFonts w:ascii="TradeGothicLTStd" w:hAnsi="TradeGothicLTStd" w:cs="TradeGothicLTStd"/>
          <w:color w:val="000000"/>
          <w:sz w:val="24"/>
          <w:szCs w:val="24"/>
        </w:rPr>
        <w:t>The information of the Participant and Ward shall remain private and not used for any purpose or shared with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 xml:space="preserve"> </w:t>
      </w:r>
      <w:r w:rsidRPr="009E582D">
        <w:rPr>
          <w:rFonts w:ascii="TradeGothicLTStd" w:hAnsi="TradeGothicLTStd" w:cs="TradeGothicLTStd"/>
          <w:color w:val="000000"/>
          <w:sz w:val="24"/>
          <w:szCs w:val="24"/>
        </w:rPr>
        <w:t>any person other than when allowed by law.</w:t>
      </w:r>
    </w:p>
    <w:p w:rsidR="00ED3CBD" w:rsidRPr="009E582D" w:rsidRDefault="00ED3CBD" w:rsidP="00ED3CBD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3CBD" w:rsidRPr="009E582D" w:rsidTr="003B35F7">
        <w:tc>
          <w:tcPr>
            <w:tcW w:w="9350" w:type="dxa"/>
            <w:gridSpan w:val="2"/>
          </w:tcPr>
          <w:p w:rsidR="00ED3CBD" w:rsidRPr="0099376A" w:rsidRDefault="00ED3CBD" w:rsidP="00ED3CBD">
            <w:pPr>
              <w:spacing w:after="160" w:line="259" w:lineRule="auto"/>
              <w:rPr>
                <w:rFonts w:ascii="TradeGothicLTStd" w:hAnsi="TradeGothicLTStd" w:cs="TradeGothicLTStd"/>
                <w:color w:val="000000"/>
                <w:sz w:val="20"/>
                <w:szCs w:val="20"/>
              </w:rPr>
            </w:pPr>
            <w:r w:rsidRPr="0099376A">
              <w:rPr>
                <w:rFonts w:ascii="TradeGothicLTStd" w:hAnsi="TradeGothicLTStd" w:cs="TradeGothicLTStd"/>
                <w:color w:val="000000"/>
                <w:sz w:val="20"/>
                <w:szCs w:val="20"/>
              </w:rPr>
              <w:t>D</w:t>
            </w:r>
            <w:r w:rsidR="00071C96">
              <w:rPr>
                <w:rFonts w:ascii="TradeGothicLTStd" w:hAnsi="TradeGothicLTStd" w:cs="TradeGothicLTStd"/>
                <w:color w:val="000000"/>
                <w:sz w:val="20"/>
                <w:szCs w:val="20"/>
              </w:rPr>
              <w:t>octo</w:t>
            </w:r>
            <w:bookmarkStart w:id="0" w:name="_GoBack"/>
            <w:bookmarkEnd w:id="0"/>
            <w:r w:rsidRPr="0099376A">
              <w:rPr>
                <w:rFonts w:ascii="TradeGothicLTStd" w:hAnsi="TradeGothicLTStd" w:cs="TradeGothicLTStd"/>
                <w:color w:val="000000"/>
                <w:sz w:val="20"/>
                <w:szCs w:val="20"/>
              </w:rPr>
              <w:t>r/Administrator’s signature:</w:t>
            </w:r>
          </w:p>
        </w:tc>
      </w:tr>
      <w:tr w:rsidR="00ED3CBD" w:rsidRPr="009E582D" w:rsidTr="00ED3CBD">
        <w:trPr>
          <w:trHeight w:val="467"/>
        </w:trPr>
        <w:tc>
          <w:tcPr>
            <w:tcW w:w="9350" w:type="dxa"/>
            <w:gridSpan w:val="2"/>
          </w:tcPr>
          <w:p w:rsidR="00ED3CBD" w:rsidRPr="0099376A" w:rsidRDefault="00ED3CBD" w:rsidP="00ED3CBD">
            <w:pPr>
              <w:rPr>
                <w:rFonts w:ascii="TradeGothicLTStd" w:hAnsi="TradeGothicLTStd" w:cs="TradeGothicLTStd"/>
                <w:color w:val="000000"/>
                <w:sz w:val="20"/>
                <w:szCs w:val="20"/>
              </w:rPr>
            </w:pPr>
            <w:r w:rsidRPr="0099376A">
              <w:rPr>
                <w:rFonts w:ascii="TradeGothicLTStd" w:hAnsi="TradeGothicLTStd" w:cs="TradeGothicLTStd"/>
                <w:color w:val="000000"/>
                <w:sz w:val="20"/>
                <w:szCs w:val="20"/>
              </w:rPr>
              <w:t>Participant/Agent:</w:t>
            </w:r>
          </w:p>
        </w:tc>
      </w:tr>
      <w:tr w:rsidR="00ED3CBD" w:rsidRPr="00ED3CBD" w:rsidTr="002407DB">
        <w:tc>
          <w:tcPr>
            <w:tcW w:w="4675" w:type="dxa"/>
          </w:tcPr>
          <w:p w:rsidR="00ED3CBD" w:rsidRPr="0099376A" w:rsidRDefault="00ED3CBD" w:rsidP="00ED3CBD">
            <w:pPr>
              <w:rPr>
                <w:rFonts w:ascii="TradeGothicLTStd" w:hAnsi="TradeGothicLTStd" w:cs="TradeGothicLTStd"/>
                <w:color w:val="000000"/>
                <w:sz w:val="20"/>
                <w:szCs w:val="20"/>
              </w:rPr>
            </w:pPr>
            <w:r w:rsidRPr="0099376A">
              <w:rPr>
                <w:rFonts w:ascii="TradeGothicLTStd" w:hAnsi="TradeGothicLTStd" w:cs="TradeGothicLTStd"/>
                <w:color w:val="000000"/>
                <w:sz w:val="20"/>
                <w:szCs w:val="20"/>
              </w:rPr>
              <w:t>Witness 1</w:t>
            </w:r>
          </w:p>
          <w:p w:rsidR="00ED3CBD" w:rsidRPr="0099376A" w:rsidRDefault="00ED3CBD" w:rsidP="00ED3CBD">
            <w:pPr>
              <w:rPr>
                <w:rFonts w:ascii="TradeGothicLTStd" w:hAnsi="TradeGothicLTStd" w:cs="TradeGothicLTStd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:rsidR="00ED3CBD" w:rsidRPr="0099376A" w:rsidRDefault="00ED3CBD" w:rsidP="00ED3CBD">
            <w:pPr>
              <w:rPr>
                <w:rFonts w:ascii="TradeGothicLTStd" w:hAnsi="TradeGothicLTStd" w:cs="TradeGothicLTStd"/>
                <w:color w:val="000000"/>
                <w:sz w:val="20"/>
                <w:szCs w:val="20"/>
              </w:rPr>
            </w:pPr>
            <w:r w:rsidRPr="0099376A">
              <w:rPr>
                <w:rFonts w:ascii="TradeGothicLTStd" w:hAnsi="TradeGothicLTStd" w:cs="TradeGothicLTStd"/>
                <w:color w:val="000000"/>
                <w:sz w:val="20"/>
                <w:szCs w:val="20"/>
              </w:rPr>
              <w:t>Witness 2</w:t>
            </w:r>
          </w:p>
        </w:tc>
      </w:tr>
      <w:tr w:rsidR="00ED3CBD" w:rsidRPr="00ED3CBD" w:rsidTr="003B35F7">
        <w:tc>
          <w:tcPr>
            <w:tcW w:w="9350" w:type="dxa"/>
            <w:gridSpan w:val="2"/>
          </w:tcPr>
          <w:p w:rsidR="00ED3CBD" w:rsidRPr="0099376A" w:rsidRDefault="00ED3CBD" w:rsidP="00ED3CBD">
            <w:pPr>
              <w:spacing w:after="160" w:line="259" w:lineRule="auto"/>
              <w:rPr>
                <w:rFonts w:ascii="TradeGothicLTStd" w:hAnsi="TradeGothicLTStd" w:cs="TradeGothicLTStd"/>
                <w:color w:val="000000"/>
                <w:sz w:val="20"/>
                <w:szCs w:val="20"/>
              </w:rPr>
            </w:pPr>
            <w:r w:rsidRPr="0099376A">
              <w:rPr>
                <w:rFonts w:ascii="TradeGothicLTStd" w:hAnsi="TradeGothicLTStd" w:cs="TradeGothicLTStd"/>
                <w:color w:val="000000"/>
                <w:sz w:val="20"/>
                <w:szCs w:val="20"/>
              </w:rPr>
              <w:t>Date</w:t>
            </w:r>
          </w:p>
        </w:tc>
      </w:tr>
    </w:tbl>
    <w:p w:rsidR="00ED3CBD" w:rsidRDefault="00ED3CBD" w:rsidP="00ED3CBD"/>
    <w:sectPr w:rsidR="00ED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7254"/>
    <w:multiLevelType w:val="hybridMultilevel"/>
    <w:tmpl w:val="616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45B3D"/>
    <w:multiLevelType w:val="hybridMultilevel"/>
    <w:tmpl w:val="F1CE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D"/>
    <w:rsid w:val="00050E0F"/>
    <w:rsid w:val="00071C96"/>
    <w:rsid w:val="0099376A"/>
    <w:rsid w:val="009E48F7"/>
    <w:rsid w:val="009E582D"/>
    <w:rsid w:val="00E10822"/>
    <w:rsid w:val="00E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22C7"/>
  <w15:chartTrackingRefBased/>
  <w15:docId w15:val="{C043987F-FCDF-4043-85FF-187379AF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</dc:creator>
  <cp:keywords/>
  <dc:description/>
  <cp:lastModifiedBy>Derek S</cp:lastModifiedBy>
  <cp:revision>3</cp:revision>
  <dcterms:created xsi:type="dcterms:W3CDTF">2022-01-31T02:50:00Z</dcterms:created>
  <dcterms:modified xsi:type="dcterms:W3CDTF">2022-01-31T02:51:00Z</dcterms:modified>
</cp:coreProperties>
</file>